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CF4" w:rsidRDefault="00F00CA0">
      <w:pPr>
        <w:jc w:val="center"/>
        <w:rPr>
          <w:rFonts w:ascii="Arial" w:hAnsi="Arial"/>
          <w:b/>
          <w:bCs/>
          <w:sz w:val="22"/>
          <w:szCs w:val="22"/>
        </w:rPr>
      </w:pPr>
      <w:r>
        <w:rPr>
          <w:rFonts w:ascii="Arial" w:hAnsi="Arial"/>
          <w:b/>
          <w:bCs/>
          <w:sz w:val="22"/>
          <w:szCs w:val="22"/>
        </w:rPr>
        <w:t xml:space="preserve">Ethical Consumer Research Association </w:t>
      </w:r>
    </w:p>
    <w:p w:rsidR="00605CF4" w:rsidRDefault="00605CF4">
      <w:pPr>
        <w:jc w:val="center"/>
        <w:rPr>
          <w:rFonts w:ascii="Arial" w:hAnsi="Arial"/>
          <w:b/>
          <w:bCs/>
          <w:sz w:val="22"/>
          <w:szCs w:val="22"/>
        </w:rPr>
      </w:pPr>
    </w:p>
    <w:p w:rsidR="00605CF4" w:rsidRDefault="00F00CA0">
      <w:pPr>
        <w:jc w:val="center"/>
        <w:rPr>
          <w:rFonts w:ascii="Arial" w:hAnsi="Arial"/>
          <w:b/>
          <w:bCs/>
          <w:color w:val="FF3333"/>
          <w:sz w:val="22"/>
          <w:szCs w:val="22"/>
        </w:rPr>
      </w:pPr>
      <w:r>
        <w:rPr>
          <w:rFonts w:ascii="Arial" w:hAnsi="Arial"/>
          <w:b/>
          <w:bCs/>
          <w:color w:val="FF3333"/>
          <w:sz w:val="22"/>
          <w:szCs w:val="22"/>
        </w:rPr>
        <w:t>DRAFT MINUTES</w:t>
      </w:r>
    </w:p>
    <w:p w:rsidR="00605CF4" w:rsidRDefault="00F00CA0">
      <w:pPr>
        <w:jc w:val="center"/>
        <w:rPr>
          <w:rFonts w:ascii="Arial" w:hAnsi="Arial"/>
          <w:b/>
          <w:bCs/>
          <w:sz w:val="22"/>
          <w:szCs w:val="22"/>
        </w:rPr>
      </w:pPr>
      <w:r>
        <w:rPr>
          <w:rFonts w:ascii="Arial" w:hAnsi="Arial"/>
          <w:b/>
          <w:bCs/>
          <w:sz w:val="22"/>
          <w:szCs w:val="22"/>
        </w:rPr>
        <w:t>from the Annual General Meeting</w:t>
      </w:r>
    </w:p>
    <w:p w:rsidR="00605CF4" w:rsidRDefault="00F00CA0">
      <w:pPr>
        <w:jc w:val="center"/>
      </w:pPr>
      <w:r>
        <w:rPr>
          <w:rFonts w:ascii="Arial" w:hAnsi="Arial"/>
          <w:b/>
          <w:bCs/>
          <w:sz w:val="22"/>
          <w:szCs w:val="22"/>
        </w:rPr>
        <w:t>held on Friday 13th September at 1pm at Ethical Consumer offices, Manchester</w:t>
      </w:r>
    </w:p>
    <w:p w:rsidR="00605CF4" w:rsidRDefault="00605CF4">
      <w:pPr>
        <w:rPr>
          <w:b/>
          <w:bCs/>
        </w:rPr>
      </w:pPr>
    </w:p>
    <w:p w:rsidR="00605CF4" w:rsidRDefault="00605CF4">
      <w:pPr>
        <w:pStyle w:val="Body"/>
        <w:rPr>
          <w:b/>
          <w:bCs/>
        </w:rPr>
      </w:pPr>
    </w:p>
    <w:p w:rsidR="00605CF4" w:rsidRDefault="00F00CA0">
      <w:pPr>
        <w:pStyle w:val="Body"/>
        <w:numPr>
          <w:ilvl w:val="0"/>
          <w:numId w:val="1"/>
        </w:numPr>
        <w:rPr>
          <w:b/>
          <w:bCs/>
          <w:lang w:val="en-US"/>
        </w:rPr>
      </w:pPr>
      <w:r>
        <w:rPr>
          <w:b/>
          <w:bCs/>
        </w:rPr>
        <w:t>Members present</w:t>
      </w:r>
    </w:p>
    <w:p w:rsidR="00605CF4" w:rsidRDefault="00605CF4">
      <w:pPr>
        <w:pStyle w:val="Body"/>
      </w:pPr>
    </w:p>
    <w:p w:rsidR="00605CF4" w:rsidRDefault="00F00CA0">
      <w:pPr>
        <w:pStyle w:val="Body"/>
        <w:suppressAutoHyphens/>
      </w:pPr>
      <w:r>
        <w:t>Staff members: Robert Harrison (RH), Elizabeth Chater (Minutes) (EC), Francesca Thomas (FT), Francesca De La Torre (FDLT), Tim Hunt (TH), Jane Turner (JT), Josie Wexler (JW), Ruth Strange (RS), Mackenzie Denyer (MD), Joanna Long (Chair) (JL), Sophie Billington (SB), Alex Crumbie</w:t>
      </w:r>
      <w:r w:rsidR="00175A10">
        <w:t xml:space="preserve"> (AC)</w:t>
      </w:r>
      <w:r>
        <w:t>, Tom Bryson (TB)</w:t>
      </w:r>
    </w:p>
    <w:p w:rsidR="00605CF4" w:rsidRDefault="00F00CA0">
      <w:pPr>
        <w:pStyle w:val="Body"/>
        <w:suppressAutoHyphens/>
      </w:pPr>
      <w:r>
        <w:t>Board Members:  Fiona Nicholls</w:t>
      </w:r>
      <w:r w:rsidR="00175A10">
        <w:t xml:space="preserve"> (FN)</w:t>
      </w:r>
    </w:p>
    <w:p w:rsidR="00605CF4" w:rsidRDefault="00F00CA0">
      <w:pPr>
        <w:pStyle w:val="Body"/>
        <w:suppressAutoHyphens/>
      </w:pPr>
      <w:r>
        <w:t>Investor members: John Grayson</w:t>
      </w:r>
      <w:r w:rsidR="00175A10">
        <w:t xml:space="preserve"> </w:t>
      </w:r>
      <w:r>
        <w:t>(JG), Lynne Skipworth (LS), Rachel White (RW),  Aqeel Kapasi (AK), Michael Wignall (MW)</w:t>
      </w:r>
    </w:p>
    <w:p w:rsidR="00605CF4" w:rsidRDefault="00605CF4">
      <w:pPr>
        <w:pStyle w:val="Body"/>
        <w:suppressAutoHyphens/>
      </w:pPr>
    </w:p>
    <w:p w:rsidR="00605CF4" w:rsidRDefault="00F00CA0">
      <w:pPr>
        <w:pStyle w:val="Body"/>
        <w:suppressAutoHyphens/>
        <w:rPr>
          <w:b/>
          <w:bCs/>
        </w:rPr>
      </w:pPr>
      <w:r>
        <w:rPr>
          <w:b/>
          <w:bCs/>
        </w:rPr>
        <w:t>2. Apologies</w:t>
      </w:r>
    </w:p>
    <w:p w:rsidR="00605CF4" w:rsidRDefault="00605CF4">
      <w:pPr>
        <w:pStyle w:val="Body"/>
        <w:suppressAutoHyphens/>
      </w:pPr>
    </w:p>
    <w:p w:rsidR="00605CF4" w:rsidRDefault="00F00CA0">
      <w:pPr>
        <w:pStyle w:val="Body"/>
        <w:suppressAutoHyphens/>
      </w:pPr>
      <w:r>
        <w:t>Staff members: Clare Carlile, Anna Clayton</w:t>
      </w:r>
    </w:p>
    <w:p w:rsidR="00605CF4" w:rsidRDefault="00F00CA0">
      <w:pPr>
        <w:pStyle w:val="Body"/>
        <w:suppressAutoHyphens/>
      </w:pPr>
      <w:r>
        <w:t>Board Members: Shaun Fensom, Dan Welch</w:t>
      </w:r>
    </w:p>
    <w:p w:rsidR="00605CF4" w:rsidRDefault="00F00CA0">
      <w:pPr>
        <w:pStyle w:val="Body"/>
        <w:suppressAutoHyphens/>
      </w:pPr>
      <w:r>
        <w:t xml:space="preserve">Investor Members: Dick Venes, Jacqueline Quinn, Christopher Sykesud, Diane Bentley, </w:t>
      </w:r>
      <w:r>
        <w:rPr>
          <w:rFonts w:ascii="Arial" w:hAnsi="Arial"/>
        </w:rPr>
        <w:t xml:space="preserve">Richard Lloyd-Jones </w:t>
      </w:r>
    </w:p>
    <w:p w:rsidR="00605CF4" w:rsidRDefault="00605CF4">
      <w:pPr>
        <w:suppressAutoHyphens/>
      </w:pPr>
    </w:p>
    <w:p w:rsidR="00605CF4" w:rsidRDefault="00605CF4">
      <w:pPr>
        <w:pStyle w:val="Body"/>
        <w:suppressAutoHyphens/>
      </w:pPr>
    </w:p>
    <w:p w:rsidR="00605CF4" w:rsidRDefault="00F00CA0">
      <w:pPr>
        <w:pStyle w:val="Body"/>
        <w:suppressAutoHyphens/>
      </w:pPr>
      <w:r>
        <w:rPr>
          <w:b/>
          <w:bCs/>
        </w:rPr>
        <w:t>3. Minutes of 2018 AGM</w:t>
      </w:r>
    </w:p>
    <w:p w:rsidR="00605CF4" w:rsidRDefault="00605CF4">
      <w:pPr>
        <w:pStyle w:val="Body"/>
        <w:suppressAutoHyphens/>
      </w:pPr>
    </w:p>
    <w:p w:rsidR="00605CF4" w:rsidRDefault="00F00CA0">
      <w:pPr>
        <w:pStyle w:val="Body"/>
        <w:suppressAutoHyphens/>
      </w:pPr>
      <w:r>
        <w:rPr>
          <w:b/>
          <w:bCs/>
        </w:rPr>
        <w:t>Action:</w:t>
      </w:r>
      <w:r>
        <w:t xml:space="preserve"> Minutes to be put on </w:t>
      </w:r>
      <w:r w:rsidR="00175A10">
        <w:t xml:space="preserve">the website </w:t>
      </w:r>
      <w:r>
        <w:t>within a month</w:t>
      </w:r>
      <w:r w:rsidR="00175A10">
        <w:t xml:space="preserve"> of this meeting</w:t>
      </w:r>
      <w:r>
        <w:t>.</w:t>
      </w:r>
    </w:p>
    <w:p w:rsidR="00605CF4" w:rsidRDefault="00F00CA0">
      <w:pPr>
        <w:pStyle w:val="Body"/>
        <w:suppressAutoHyphens/>
      </w:pPr>
      <w:r>
        <w:t xml:space="preserve">2018 minutes accepted as a true record. </w:t>
      </w:r>
    </w:p>
    <w:p w:rsidR="00605CF4" w:rsidRDefault="00605CF4">
      <w:pPr>
        <w:pStyle w:val="Body"/>
        <w:suppressAutoHyphens/>
      </w:pPr>
    </w:p>
    <w:p w:rsidR="00605CF4" w:rsidRDefault="00605CF4">
      <w:pPr>
        <w:pStyle w:val="Body"/>
        <w:suppressAutoHyphens/>
      </w:pPr>
    </w:p>
    <w:p w:rsidR="00605CF4" w:rsidRDefault="00F00CA0">
      <w:pPr>
        <w:pStyle w:val="Body"/>
        <w:suppressAutoHyphens/>
      </w:pPr>
      <w:r>
        <w:rPr>
          <w:b/>
          <w:bCs/>
        </w:rPr>
        <w:t>4. Directors’ report and Financial Statement</w:t>
      </w:r>
    </w:p>
    <w:p w:rsidR="00605CF4" w:rsidRDefault="00605CF4">
      <w:pPr>
        <w:pStyle w:val="Body"/>
        <w:suppressAutoHyphens/>
        <w:rPr>
          <w:b/>
          <w:bCs/>
        </w:rPr>
      </w:pPr>
    </w:p>
    <w:p w:rsidR="00605CF4" w:rsidRDefault="00F00CA0">
      <w:pPr>
        <w:pStyle w:val="Body"/>
        <w:suppressAutoHyphens/>
      </w:pPr>
      <w:r>
        <w:t>RH – outlined the key points in the Directors’ Report and added to the reasons for optimism</w:t>
      </w:r>
      <w:r w:rsidR="00175A10">
        <w:t xml:space="preserve">: </w:t>
      </w:r>
      <w:r>
        <w:t>have had a fantastic 6 months</w:t>
      </w:r>
      <w:r w:rsidR="00175A10">
        <w:t xml:space="preserve">; </w:t>
      </w:r>
      <w:r>
        <w:t>subscriptions continuing to grow at a fast rate and consultancy performing well.</w:t>
      </w:r>
    </w:p>
    <w:p w:rsidR="00605CF4" w:rsidRDefault="00F00CA0">
      <w:pPr>
        <w:pStyle w:val="Body"/>
        <w:suppressAutoHyphens/>
      </w:pPr>
      <w:r>
        <w:t>JG – there are forecasts for a world economic downturn. We need to be aware that there is a possibility that investors could cash in their investments</w:t>
      </w:r>
    </w:p>
    <w:p w:rsidR="00605CF4" w:rsidRDefault="00F00CA0">
      <w:pPr>
        <w:pStyle w:val="Body"/>
        <w:suppressAutoHyphens/>
      </w:pPr>
      <w:r>
        <w:t>LS – you mention that Lush are scaling back – what projects that we run are affected and what is the reason for the scale back?</w:t>
      </w:r>
    </w:p>
    <w:p w:rsidR="00605CF4" w:rsidRDefault="00F00CA0">
      <w:pPr>
        <w:pStyle w:val="Body"/>
        <w:suppressAutoHyphens/>
      </w:pPr>
      <w:r>
        <w:t>RH – we run two prize events a year and now only doing one a year. Lush had committed too much to charitable giving.</w:t>
      </w:r>
    </w:p>
    <w:p w:rsidR="00605CF4" w:rsidRDefault="00605CF4">
      <w:pPr>
        <w:pStyle w:val="Body"/>
        <w:suppressAutoHyphens/>
      </w:pPr>
    </w:p>
    <w:p w:rsidR="00605CF4" w:rsidRDefault="00F00CA0">
      <w:pPr>
        <w:pStyle w:val="Body"/>
        <w:suppressAutoHyphens/>
      </w:pPr>
      <w:r>
        <w:t xml:space="preserve">The meeting </w:t>
      </w:r>
      <w:r>
        <w:rPr>
          <w:b/>
          <w:bCs/>
        </w:rPr>
        <w:t>approved</w:t>
      </w:r>
      <w:r>
        <w:t xml:space="preserve"> the Directors’ report and Financial Statement</w:t>
      </w:r>
    </w:p>
    <w:p w:rsidR="00605CF4" w:rsidRDefault="00605CF4">
      <w:pPr>
        <w:pStyle w:val="Body"/>
        <w:suppressAutoHyphens/>
      </w:pPr>
    </w:p>
    <w:p w:rsidR="00605CF4" w:rsidRDefault="00605CF4">
      <w:pPr>
        <w:pStyle w:val="Body"/>
        <w:suppressAutoHyphens/>
      </w:pPr>
    </w:p>
    <w:p w:rsidR="00605CF4" w:rsidRDefault="00F00CA0">
      <w:pPr>
        <w:pStyle w:val="Body"/>
        <w:suppressAutoHyphens/>
      </w:pPr>
      <w:r>
        <w:rPr>
          <w:b/>
          <w:bCs/>
        </w:rPr>
        <w:t xml:space="preserve">5. </w:t>
      </w:r>
      <w:r>
        <w:rPr>
          <w:rFonts w:ascii="Arial" w:hAnsi="Arial"/>
          <w:b/>
          <w:bCs/>
        </w:rPr>
        <w:t xml:space="preserve">Reappointment of accountants (Rule 54) and resolution to utilise exemption </w:t>
      </w:r>
      <w:bookmarkStart w:id="0" w:name="__DdeLink__291_246044415"/>
      <w:r>
        <w:rPr>
          <w:rFonts w:ascii="Arial" w:hAnsi="Arial"/>
          <w:b/>
          <w:bCs/>
        </w:rPr>
        <w:t>from filing audited accounts (Rule 55)</w:t>
      </w:r>
      <w:bookmarkEnd w:id="0"/>
    </w:p>
    <w:p w:rsidR="00605CF4" w:rsidRDefault="00F00CA0">
      <w:pPr>
        <w:pStyle w:val="Body"/>
        <w:suppressAutoHyphens/>
      </w:pPr>
      <w:r>
        <w:t>Outstanding Action from last time: to investigate a one-off audit of the accounts</w:t>
      </w:r>
    </w:p>
    <w:p w:rsidR="00605CF4" w:rsidRDefault="00605CF4">
      <w:pPr>
        <w:pStyle w:val="Body"/>
        <w:suppressAutoHyphens/>
      </w:pPr>
    </w:p>
    <w:p w:rsidR="00605CF4" w:rsidRDefault="00F00CA0">
      <w:pPr>
        <w:pStyle w:val="Body"/>
        <w:suppressAutoHyphens/>
      </w:pPr>
      <w:r>
        <w:t>Reappointment of our accountants: Third Sector Accountancy</w:t>
      </w:r>
    </w:p>
    <w:p w:rsidR="00605CF4" w:rsidRDefault="00F00CA0">
      <w:pPr>
        <w:pStyle w:val="Body"/>
        <w:suppressAutoHyphens/>
      </w:pPr>
      <w:r>
        <w:t>FN – prudent to consider another practitioner in Third Sector Accountancy</w:t>
      </w:r>
    </w:p>
    <w:p w:rsidR="00605CF4" w:rsidRDefault="00F00CA0">
      <w:pPr>
        <w:pStyle w:val="Body"/>
        <w:suppressAutoHyphens/>
      </w:pPr>
      <w:r>
        <w:t xml:space="preserve">JG </w:t>
      </w:r>
      <w:r w:rsidR="00175A10">
        <w:t>–</w:t>
      </w:r>
      <w:r>
        <w:t xml:space="preserve"> would</w:t>
      </w:r>
      <w:r w:rsidR="00175A10">
        <w:t xml:space="preserve"> </w:t>
      </w:r>
      <w:r>
        <w:t xml:space="preserve">need to </w:t>
      </w:r>
      <w:r w:rsidR="00175A10">
        <w:t xml:space="preserve">be </w:t>
      </w:r>
      <w:r>
        <w:t>an equal and not a subordinate</w:t>
      </w:r>
    </w:p>
    <w:p w:rsidR="00605CF4" w:rsidRDefault="00F00CA0">
      <w:pPr>
        <w:pStyle w:val="Body"/>
        <w:suppressAutoHyphens/>
      </w:pPr>
      <w:r>
        <w:t>RS – Third Sector are a co-op with a flat structure</w:t>
      </w:r>
    </w:p>
    <w:p w:rsidR="00605CF4" w:rsidRDefault="00F00CA0">
      <w:pPr>
        <w:pStyle w:val="Body"/>
        <w:suppressAutoHyphens/>
      </w:pPr>
      <w:r>
        <w:t>RH – not sure if Third Sector has another accountant available</w:t>
      </w:r>
    </w:p>
    <w:p w:rsidR="00605CF4" w:rsidRDefault="00F00CA0">
      <w:pPr>
        <w:pStyle w:val="Body"/>
        <w:suppressAutoHyphens/>
      </w:pPr>
      <w:r>
        <w:t>JG – best to have a third party audit as then will have something to compare against.</w:t>
      </w:r>
    </w:p>
    <w:p w:rsidR="00605CF4" w:rsidRDefault="00F00CA0">
      <w:pPr>
        <w:pStyle w:val="Body"/>
        <w:suppressAutoHyphens/>
      </w:pPr>
      <w:r>
        <w:t>MW – using a third party makes a more sense than getting our accountants to be our auditors</w:t>
      </w:r>
    </w:p>
    <w:p w:rsidR="00605CF4" w:rsidRDefault="00605CF4">
      <w:pPr>
        <w:pStyle w:val="Body"/>
        <w:suppressAutoHyphens/>
      </w:pPr>
    </w:p>
    <w:p w:rsidR="00605CF4" w:rsidRDefault="00F00CA0">
      <w:pPr>
        <w:pStyle w:val="Body"/>
        <w:suppressAutoHyphens/>
        <w:rPr>
          <w:b/>
          <w:bCs/>
        </w:rPr>
      </w:pPr>
      <w:r>
        <w:rPr>
          <w:b/>
          <w:bCs/>
        </w:rPr>
        <w:t>Agreed</w:t>
      </w:r>
    </w:p>
    <w:p w:rsidR="00605CF4" w:rsidRDefault="00F00CA0">
      <w:pPr>
        <w:pStyle w:val="Body"/>
        <w:suppressAutoHyphens/>
      </w:pPr>
      <w:r>
        <w:t>Reappoint Third Sector Accountancy</w:t>
      </w:r>
    </w:p>
    <w:p w:rsidR="00605CF4" w:rsidRDefault="00F00CA0">
      <w:pPr>
        <w:pStyle w:val="Body"/>
        <w:suppressAutoHyphens/>
      </w:pPr>
      <w:r>
        <w:t>To look at using different accountant in Third Sector</w:t>
      </w:r>
    </w:p>
    <w:p w:rsidR="00605CF4" w:rsidRDefault="00F00CA0">
      <w:pPr>
        <w:pStyle w:val="Body"/>
        <w:suppressAutoHyphens/>
      </w:pPr>
      <w:r>
        <w:t>To investigate a one</w:t>
      </w:r>
      <w:r w:rsidR="00175A10">
        <w:t>-</w:t>
      </w:r>
      <w:r>
        <w:t>off audit using an entirely different accountancy firm</w:t>
      </w:r>
    </w:p>
    <w:p w:rsidR="00605CF4" w:rsidRDefault="00605CF4">
      <w:pPr>
        <w:pStyle w:val="Body"/>
        <w:suppressAutoHyphens/>
      </w:pPr>
    </w:p>
    <w:p w:rsidR="00175A10" w:rsidRDefault="00F00CA0">
      <w:pPr>
        <w:pStyle w:val="Body"/>
        <w:suppressAutoHyphens/>
        <w:rPr>
          <w:rFonts w:ascii="Arial" w:hAnsi="Arial"/>
        </w:rPr>
      </w:pPr>
      <w:r>
        <w:t xml:space="preserve">Utilise exemption </w:t>
      </w:r>
      <w:r>
        <w:rPr>
          <w:rFonts w:ascii="Arial" w:hAnsi="Arial"/>
        </w:rPr>
        <w:t>from filing audited accounts (Rule 55)</w:t>
      </w:r>
    </w:p>
    <w:p w:rsidR="00605CF4" w:rsidRDefault="00175A10">
      <w:pPr>
        <w:pStyle w:val="Body"/>
        <w:suppressAutoHyphens/>
      </w:pPr>
      <w:r>
        <w:rPr>
          <w:rFonts w:ascii="Arial" w:hAnsi="Arial"/>
        </w:rPr>
        <w:t>N</w:t>
      </w:r>
      <w:r w:rsidR="00F00CA0">
        <w:t>o objections</w:t>
      </w:r>
      <w:r>
        <w:t xml:space="preserve"> – </w:t>
      </w:r>
      <w:r w:rsidRPr="00175A10">
        <w:rPr>
          <w:b/>
          <w:bCs/>
        </w:rPr>
        <w:t>Agreed</w:t>
      </w:r>
    </w:p>
    <w:p w:rsidR="00605CF4" w:rsidRDefault="00605CF4">
      <w:pPr>
        <w:pStyle w:val="Body"/>
        <w:suppressAutoHyphens/>
      </w:pPr>
    </w:p>
    <w:p w:rsidR="00605CF4" w:rsidRDefault="00F00CA0">
      <w:pPr>
        <w:pStyle w:val="Body"/>
        <w:suppressAutoHyphens/>
        <w:rPr>
          <w:b/>
          <w:bCs/>
        </w:rPr>
      </w:pPr>
      <w:r>
        <w:rPr>
          <w:b/>
          <w:bCs/>
        </w:rPr>
        <w:t xml:space="preserve">6. </w:t>
      </w:r>
      <w:r>
        <w:rPr>
          <w:rFonts w:ascii="Arial" w:hAnsi="Arial"/>
          <w:b/>
          <w:bCs/>
        </w:rPr>
        <w:t>Investor-Director elections</w:t>
      </w:r>
    </w:p>
    <w:p w:rsidR="00605CF4" w:rsidRDefault="00605CF4">
      <w:pPr>
        <w:pStyle w:val="Body"/>
        <w:suppressAutoHyphens/>
        <w:rPr>
          <w:b/>
          <w:bCs/>
        </w:rPr>
      </w:pPr>
    </w:p>
    <w:p w:rsidR="004E482F" w:rsidRDefault="004E482F">
      <w:pPr>
        <w:pStyle w:val="Body"/>
        <w:suppressAutoHyphens/>
      </w:pPr>
      <w:r>
        <w:t>This year we had four candidates stand for election as Investor-Directors. The election was run online and by post by Electoral Reform Services. Turnout in the election was 35.8% (73 out of 204 eligible voters), which we’re told is quite good for a board election.</w:t>
      </w:r>
    </w:p>
    <w:p w:rsidR="004E482F" w:rsidRDefault="004E482F">
      <w:pPr>
        <w:pStyle w:val="Body"/>
        <w:suppressAutoHyphens/>
      </w:pPr>
    </w:p>
    <w:p w:rsidR="004E482F" w:rsidRDefault="004E482F">
      <w:pPr>
        <w:pStyle w:val="Body"/>
        <w:suppressAutoHyphens/>
      </w:pPr>
      <w:r>
        <w:t>The election was run using the single transferable vote method, where voters rank candidates in order of preference.</w:t>
      </w:r>
    </w:p>
    <w:p w:rsidR="004E482F" w:rsidRDefault="004E482F">
      <w:pPr>
        <w:pStyle w:val="Body"/>
        <w:suppressAutoHyphens/>
      </w:pPr>
    </w:p>
    <w:p w:rsidR="00605CF4" w:rsidRDefault="00F00CA0">
      <w:pPr>
        <w:pStyle w:val="Body"/>
        <w:suppressAutoHyphens/>
      </w:pPr>
      <w:r>
        <w:t xml:space="preserve">Fiona Nichols and Dan Welch </w:t>
      </w:r>
      <w:r w:rsidR="004E482F">
        <w:t xml:space="preserve">were </w:t>
      </w:r>
      <w:r>
        <w:rPr>
          <w:b/>
          <w:bCs/>
        </w:rPr>
        <w:t>re-elected</w:t>
      </w:r>
      <w:r w:rsidR="004E482F">
        <w:t xml:space="preserve"> with the following votes:</w:t>
      </w:r>
    </w:p>
    <w:p w:rsidR="004E482F" w:rsidRDefault="004E482F">
      <w:pPr>
        <w:pStyle w:val="Body"/>
        <w:suppressAutoHyphens/>
      </w:pPr>
    </w:p>
    <w:tbl>
      <w:tblPr>
        <w:tblStyle w:val="TableGrid"/>
        <w:tblW w:w="0" w:type="auto"/>
        <w:tblLook w:val="04A0" w:firstRow="1" w:lastRow="0" w:firstColumn="1" w:lastColumn="0" w:noHBand="0" w:noVBand="1"/>
      </w:tblPr>
      <w:tblGrid>
        <w:gridCol w:w="1970"/>
        <w:gridCol w:w="2098"/>
        <w:gridCol w:w="2880"/>
        <w:gridCol w:w="1440"/>
        <w:gridCol w:w="1466"/>
      </w:tblGrid>
      <w:tr w:rsidR="004E482F" w:rsidTr="004E482F">
        <w:tc>
          <w:tcPr>
            <w:tcW w:w="1970" w:type="dxa"/>
          </w:tcPr>
          <w:p w:rsidR="004E482F" w:rsidRPr="004E482F" w:rsidRDefault="004E482F">
            <w:pPr>
              <w:pStyle w:val="Body"/>
              <w:suppressAutoHyphens/>
              <w:rPr>
                <w:b/>
                <w:bCs/>
              </w:rPr>
            </w:pPr>
            <w:r w:rsidRPr="004E482F">
              <w:rPr>
                <w:b/>
                <w:bCs/>
              </w:rPr>
              <w:t>Candidates</w:t>
            </w:r>
          </w:p>
        </w:tc>
        <w:tc>
          <w:tcPr>
            <w:tcW w:w="2098" w:type="dxa"/>
          </w:tcPr>
          <w:p w:rsidR="004E482F" w:rsidRPr="004E482F" w:rsidRDefault="004E482F">
            <w:pPr>
              <w:pStyle w:val="Body"/>
              <w:suppressAutoHyphens/>
              <w:rPr>
                <w:b/>
                <w:bCs/>
              </w:rPr>
            </w:pPr>
            <w:r w:rsidRPr="004E482F">
              <w:rPr>
                <w:b/>
                <w:bCs/>
              </w:rPr>
              <w:t>First preferences</w:t>
            </w:r>
          </w:p>
        </w:tc>
        <w:tc>
          <w:tcPr>
            <w:tcW w:w="2880" w:type="dxa"/>
          </w:tcPr>
          <w:p w:rsidR="004E482F" w:rsidRPr="004E482F" w:rsidRDefault="004E482F">
            <w:pPr>
              <w:pStyle w:val="Body"/>
              <w:suppressAutoHyphens/>
              <w:rPr>
                <w:b/>
                <w:bCs/>
              </w:rPr>
            </w:pPr>
            <w:r w:rsidRPr="004E482F">
              <w:rPr>
                <w:b/>
                <w:bCs/>
              </w:rPr>
              <w:t>Surplus of Fiona Nicholls</w:t>
            </w:r>
          </w:p>
        </w:tc>
        <w:tc>
          <w:tcPr>
            <w:tcW w:w="1440" w:type="dxa"/>
          </w:tcPr>
          <w:p w:rsidR="004E482F" w:rsidRPr="004E482F" w:rsidRDefault="004E482F">
            <w:pPr>
              <w:pStyle w:val="Body"/>
              <w:suppressAutoHyphens/>
              <w:rPr>
                <w:b/>
                <w:bCs/>
              </w:rPr>
            </w:pPr>
            <w:r w:rsidRPr="004E482F">
              <w:rPr>
                <w:b/>
                <w:bCs/>
              </w:rPr>
              <w:t>Final votes</w:t>
            </w:r>
          </w:p>
        </w:tc>
        <w:tc>
          <w:tcPr>
            <w:tcW w:w="1466" w:type="dxa"/>
          </w:tcPr>
          <w:p w:rsidR="004E482F" w:rsidRPr="004E482F" w:rsidRDefault="004E482F">
            <w:pPr>
              <w:pStyle w:val="Body"/>
              <w:suppressAutoHyphens/>
              <w:rPr>
                <w:b/>
                <w:bCs/>
              </w:rPr>
            </w:pPr>
            <w:r w:rsidRPr="004E482F">
              <w:rPr>
                <w:b/>
                <w:bCs/>
              </w:rPr>
              <w:t>Result</w:t>
            </w:r>
          </w:p>
        </w:tc>
      </w:tr>
      <w:tr w:rsidR="004E482F" w:rsidTr="004E482F">
        <w:tc>
          <w:tcPr>
            <w:tcW w:w="1970" w:type="dxa"/>
          </w:tcPr>
          <w:p w:rsidR="004E482F" w:rsidRDefault="004E482F">
            <w:pPr>
              <w:pStyle w:val="Body"/>
              <w:suppressAutoHyphens/>
            </w:pPr>
            <w:r>
              <w:t>Nicholls, Fiona</w:t>
            </w:r>
          </w:p>
        </w:tc>
        <w:tc>
          <w:tcPr>
            <w:tcW w:w="2098" w:type="dxa"/>
          </w:tcPr>
          <w:p w:rsidR="004E482F" w:rsidRDefault="004E482F" w:rsidP="004E482F">
            <w:pPr>
              <w:pStyle w:val="Body"/>
              <w:suppressAutoHyphens/>
              <w:jc w:val="center"/>
            </w:pPr>
            <w:r>
              <w:t>40</w:t>
            </w:r>
          </w:p>
        </w:tc>
        <w:tc>
          <w:tcPr>
            <w:tcW w:w="2880" w:type="dxa"/>
          </w:tcPr>
          <w:p w:rsidR="004E482F" w:rsidRDefault="004E482F" w:rsidP="004E482F">
            <w:pPr>
              <w:pStyle w:val="Body"/>
              <w:suppressAutoHyphens/>
              <w:jc w:val="center"/>
            </w:pPr>
            <w:r>
              <w:t>-15.66</w:t>
            </w:r>
          </w:p>
        </w:tc>
        <w:tc>
          <w:tcPr>
            <w:tcW w:w="1440" w:type="dxa"/>
          </w:tcPr>
          <w:p w:rsidR="004E482F" w:rsidRDefault="004E482F" w:rsidP="004E482F">
            <w:pPr>
              <w:pStyle w:val="Body"/>
              <w:suppressAutoHyphens/>
              <w:jc w:val="center"/>
            </w:pPr>
            <w:r>
              <w:t>24.34</w:t>
            </w:r>
          </w:p>
        </w:tc>
        <w:tc>
          <w:tcPr>
            <w:tcW w:w="1466" w:type="dxa"/>
          </w:tcPr>
          <w:p w:rsidR="004E482F" w:rsidRDefault="004E482F">
            <w:pPr>
              <w:pStyle w:val="Body"/>
              <w:suppressAutoHyphens/>
            </w:pPr>
            <w:r>
              <w:t>Elected</w:t>
            </w:r>
          </w:p>
        </w:tc>
      </w:tr>
      <w:tr w:rsidR="004E482F" w:rsidTr="004E482F">
        <w:tc>
          <w:tcPr>
            <w:tcW w:w="1970" w:type="dxa"/>
          </w:tcPr>
          <w:p w:rsidR="004E482F" w:rsidRDefault="004E482F">
            <w:pPr>
              <w:pStyle w:val="Body"/>
              <w:suppressAutoHyphens/>
            </w:pPr>
            <w:r>
              <w:t>Welch, Dan</w:t>
            </w:r>
          </w:p>
        </w:tc>
        <w:tc>
          <w:tcPr>
            <w:tcW w:w="2098" w:type="dxa"/>
          </w:tcPr>
          <w:p w:rsidR="004E482F" w:rsidRDefault="004E482F" w:rsidP="004E482F">
            <w:pPr>
              <w:pStyle w:val="Body"/>
              <w:suppressAutoHyphens/>
              <w:jc w:val="center"/>
            </w:pPr>
            <w:r>
              <w:t>19</w:t>
            </w:r>
          </w:p>
        </w:tc>
        <w:tc>
          <w:tcPr>
            <w:tcW w:w="2880" w:type="dxa"/>
          </w:tcPr>
          <w:p w:rsidR="004E482F" w:rsidRDefault="004E482F" w:rsidP="004E482F">
            <w:pPr>
              <w:pStyle w:val="Body"/>
              <w:suppressAutoHyphens/>
              <w:jc w:val="center"/>
            </w:pPr>
            <w:r>
              <w:t>8.4</w:t>
            </w:r>
          </w:p>
        </w:tc>
        <w:tc>
          <w:tcPr>
            <w:tcW w:w="1440" w:type="dxa"/>
          </w:tcPr>
          <w:p w:rsidR="004E482F" w:rsidRDefault="004E482F" w:rsidP="004E482F">
            <w:pPr>
              <w:pStyle w:val="Body"/>
              <w:suppressAutoHyphens/>
              <w:jc w:val="center"/>
            </w:pPr>
            <w:r>
              <w:t>27.4</w:t>
            </w:r>
          </w:p>
        </w:tc>
        <w:tc>
          <w:tcPr>
            <w:tcW w:w="1466" w:type="dxa"/>
          </w:tcPr>
          <w:p w:rsidR="004E482F" w:rsidRDefault="004E482F">
            <w:pPr>
              <w:pStyle w:val="Body"/>
              <w:suppressAutoHyphens/>
            </w:pPr>
            <w:r>
              <w:t>Elected</w:t>
            </w:r>
          </w:p>
        </w:tc>
      </w:tr>
      <w:tr w:rsidR="004E482F" w:rsidTr="004E482F">
        <w:tc>
          <w:tcPr>
            <w:tcW w:w="1970" w:type="dxa"/>
          </w:tcPr>
          <w:p w:rsidR="004E482F" w:rsidRDefault="004E482F">
            <w:pPr>
              <w:pStyle w:val="Body"/>
              <w:suppressAutoHyphens/>
            </w:pPr>
            <w:r>
              <w:t>White, Rachel</w:t>
            </w:r>
          </w:p>
        </w:tc>
        <w:tc>
          <w:tcPr>
            <w:tcW w:w="2098" w:type="dxa"/>
          </w:tcPr>
          <w:p w:rsidR="004E482F" w:rsidRDefault="004E482F" w:rsidP="004E482F">
            <w:pPr>
              <w:pStyle w:val="Body"/>
              <w:suppressAutoHyphens/>
              <w:jc w:val="center"/>
            </w:pPr>
            <w:r>
              <w:t>11</w:t>
            </w:r>
          </w:p>
        </w:tc>
        <w:tc>
          <w:tcPr>
            <w:tcW w:w="2880" w:type="dxa"/>
          </w:tcPr>
          <w:p w:rsidR="004E482F" w:rsidRDefault="004E482F" w:rsidP="004E482F">
            <w:pPr>
              <w:pStyle w:val="Body"/>
              <w:suppressAutoHyphens/>
              <w:jc w:val="center"/>
            </w:pPr>
            <w:r>
              <w:t>4.4</w:t>
            </w:r>
          </w:p>
        </w:tc>
        <w:tc>
          <w:tcPr>
            <w:tcW w:w="1440" w:type="dxa"/>
          </w:tcPr>
          <w:p w:rsidR="004E482F" w:rsidRDefault="004E482F" w:rsidP="004E482F">
            <w:pPr>
              <w:pStyle w:val="Body"/>
              <w:suppressAutoHyphens/>
              <w:jc w:val="center"/>
            </w:pPr>
            <w:r>
              <w:t>15.4</w:t>
            </w:r>
          </w:p>
        </w:tc>
        <w:tc>
          <w:tcPr>
            <w:tcW w:w="1466" w:type="dxa"/>
          </w:tcPr>
          <w:p w:rsidR="004E482F" w:rsidRDefault="004E482F">
            <w:pPr>
              <w:pStyle w:val="Body"/>
              <w:suppressAutoHyphens/>
            </w:pPr>
            <w:r>
              <w:t>Not elected</w:t>
            </w:r>
          </w:p>
        </w:tc>
      </w:tr>
      <w:tr w:rsidR="004E482F" w:rsidTr="004E482F">
        <w:tc>
          <w:tcPr>
            <w:tcW w:w="1970" w:type="dxa"/>
          </w:tcPr>
          <w:p w:rsidR="004E482F" w:rsidRDefault="004E482F">
            <w:pPr>
              <w:pStyle w:val="Body"/>
              <w:suppressAutoHyphens/>
            </w:pPr>
            <w:r>
              <w:t>Wilkes, Karen</w:t>
            </w:r>
          </w:p>
        </w:tc>
        <w:tc>
          <w:tcPr>
            <w:tcW w:w="2098" w:type="dxa"/>
          </w:tcPr>
          <w:p w:rsidR="004E482F" w:rsidRDefault="004E482F" w:rsidP="004E482F">
            <w:pPr>
              <w:pStyle w:val="Body"/>
              <w:suppressAutoHyphens/>
              <w:jc w:val="center"/>
            </w:pPr>
            <w:r>
              <w:t>3</w:t>
            </w:r>
          </w:p>
        </w:tc>
        <w:tc>
          <w:tcPr>
            <w:tcW w:w="2880" w:type="dxa"/>
          </w:tcPr>
          <w:p w:rsidR="004E482F" w:rsidRDefault="004E482F" w:rsidP="004E482F">
            <w:pPr>
              <w:pStyle w:val="Body"/>
              <w:suppressAutoHyphens/>
              <w:jc w:val="center"/>
            </w:pPr>
            <w:r>
              <w:t>2.8</w:t>
            </w:r>
          </w:p>
        </w:tc>
        <w:tc>
          <w:tcPr>
            <w:tcW w:w="1440" w:type="dxa"/>
          </w:tcPr>
          <w:p w:rsidR="004E482F" w:rsidRDefault="004E482F" w:rsidP="004E482F">
            <w:pPr>
              <w:pStyle w:val="Body"/>
              <w:suppressAutoHyphens/>
              <w:jc w:val="center"/>
            </w:pPr>
            <w:r>
              <w:t>5.8</w:t>
            </w:r>
          </w:p>
        </w:tc>
        <w:tc>
          <w:tcPr>
            <w:tcW w:w="1466" w:type="dxa"/>
          </w:tcPr>
          <w:p w:rsidR="004E482F" w:rsidRDefault="004E482F">
            <w:pPr>
              <w:pStyle w:val="Body"/>
              <w:suppressAutoHyphens/>
            </w:pPr>
            <w:r>
              <w:t>Not elected</w:t>
            </w:r>
          </w:p>
        </w:tc>
      </w:tr>
      <w:tr w:rsidR="004E482F" w:rsidTr="004E482F">
        <w:tc>
          <w:tcPr>
            <w:tcW w:w="1970" w:type="dxa"/>
          </w:tcPr>
          <w:p w:rsidR="004E482F" w:rsidRPr="004E482F" w:rsidRDefault="004E482F">
            <w:pPr>
              <w:pStyle w:val="Body"/>
              <w:suppressAutoHyphens/>
              <w:rPr>
                <w:i/>
                <w:iCs/>
              </w:rPr>
            </w:pPr>
            <w:r w:rsidRPr="004E482F">
              <w:rPr>
                <w:i/>
                <w:iCs/>
              </w:rPr>
              <w:t>Non-transferable</w:t>
            </w:r>
          </w:p>
        </w:tc>
        <w:tc>
          <w:tcPr>
            <w:tcW w:w="2098" w:type="dxa"/>
          </w:tcPr>
          <w:p w:rsidR="004E482F" w:rsidRPr="004E482F" w:rsidRDefault="004E482F" w:rsidP="004E482F">
            <w:pPr>
              <w:pStyle w:val="Body"/>
              <w:suppressAutoHyphens/>
              <w:jc w:val="center"/>
              <w:rPr>
                <w:i/>
                <w:iCs/>
              </w:rPr>
            </w:pPr>
          </w:p>
        </w:tc>
        <w:tc>
          <w:tcPr>
            <w:tcW w:w="2880" w:type="dxa"/>
          </w:tcPr>
          <w:p w:rsidR="004E482F" w:rsidRPr="004E482F" w:rsidRDefault="004E482F" w:rsidP="004E482F">
            <w:pPr>
              <w:pStyle w:val="Body"/>
              <w:suppressAutoHyphens/>
              <w:jc w:val="center"/>
              <w:rPr>
                <w:i/>
                <w:iCs/>
              </w:rPr>
            </w:pPr>
            <w:r w:rsidRPr="004E482F">
              <w:rPr>
                <w:i/>
                <w:iCs/>
              </w:rPr>
              <w:t>0.06</w:t>
            </w:r>
          </w:p>
        </w:tc>
        <w:tc>
          <w:tcPr>
            <w:tcW w:w="1440" w:type="dxa"/>
          </w:tcPr>
          <w:p w:rsidR="004E482F" w:rsidRPr="004E482F" w:rsidRDefault="004E482F" w:rsidP="004E482F">
            <w:pPr>
              <w:pStyle w:val="Body"/>
              <w:suppressAutoHyphens/>
              <w:jc w:val="center"/>
              <w:rPr>
                <w:i/>
                <w:iCs/>
              </w:rPr>
            </w:pPr>
            <w:r w:rsidRPr="004E482F">
              <w:rPr>
                <w:i/>
                <w:iCs/>
              </w:rPr>
              <w:t>0.06</w:t>
            </w:r>
          </w:p>
        </w:tc>
        <w:tc>
          <w:tcPr>
            <w:tcW w:w="1466" w:type="dxa"/>
          </w:tcPr>
          <w:p w:rsidR="004E482F" w:rsidRPr="004E482F" w:rsidRDefault="004E482F">
            <w:pPr>
              <w:pStyle w:val="Body"/>
              <w:suppressAutoHyphens/>
              <w:rPr>
                <w:i/>
                <w:iCs/>
              </w:rPr>
            </w:pPr>
          </w:p>
        </w:tc>
      </w:tr>
      <w:tr w:rsidR="004E482F" w:rsidTr="004E482F">
        <w:tc>
          <w:tcPr>
            <w:tcW w:w="1970" w:type="dxa"/>
          </w:tcPr>
          <w:p w:rsidR="004E482F" w:rsidRPr="004E482F" w:rsidRDefault="004E482F">
            <w:pPr>
              <w:pStyle w:val="Body"/>
              <w:suppressAutoHyphens/>
              <w:rPr>
                <w:b/>
                <w:bCs/>
              </w:rPr>
            </w:pPr>
            <w:r w:rsidRPr="004E482F">
              <w:rPr>
                <w:b/>
                <w:bCs/>
              </w:rPr>
              <w:t>Totals</w:t>
            </w:r>
          </w:p>
        </w:tc>
        <w:tc>
          <w:tcPr>
            <w:tcW w:w="2098" w:type="dxa"/>
          </w:tcPr>
          <w:p w:rsidR="004E482F" w:rsidRPr="004E482F" w:rsidRDefault="004E482F" w:rsidP="004E482F">
            <w:pPr>
              <w:pStyle w:val="Body"/>
              <w:suppressAutoHyphens/>
              <w:jc w:val="center"/>
              <w:rPr>
                <w:b/>
                <w:bCs/>
              </w:rPr>
            </w:pPr>
            <w:r w:rsidRPr="004E482F">
              <w:rPr>
                <w:b/>
                <w:bCs/>
              </w:rPr>
              <w:t>73</w:t>
            </w:r>
          </w:p>
        </w:tc>
        <w:tc>
          <w:tcPr>
            <w:tcW w:w="2880" w:type="dxa"/>
          </w:tcPr>
          <w:p w:rsidR="004E482F" w:rsidRPr="004E482F" w:rsidRDefault="004E482F" w:rsidP="004E482F">
            <w:pPr>
              <w:pStyle w:val="Body"/>
              <w:suppressAutoHyphens/>
              <w:jc w:val="center"/>
              <w:rPr>
                <w:b/>
                <w:bCs/>
              </w:rPr>
            </w:pPr>
          </w:p>
        </w:tc>
        <w:tc>
          <w:tcPr>
            <w:tcW w:w="1440" w:type="dxa"/>
          </w:tcPr>
          <w:p w:rsidR="004E482F" w:rsidRPr="004E482F" w:rsidRDefault="004E482F" w:rsidP="004E482F">
            <w:pPr>
              <w:pStyle w:val="Body"/>
              <w:suppressAutoHyphens/>
              <w:jc w:val="center"/>
              <w:rPr>
                <w:b/>
                <w:bCs/>
              </w:rPr>
            </w:pPr>
            <w:r w:rsidRPr="004E482F">
              <w:rPr>
                <w:b/>
                <w:bCs/>
              </w:rPr>
              <w:t>73</w:t>
            </w:r>
          </w:p>
        </w:tc>
        <w:tc>
          <w:tcPr>
            <w:tcW w:w="1466" w:type="dxa"/>
          </w:tcPr>
          <w:p w:rsidR="004E482F" w:rsidRPr="004E482F" w:rsidRDefault="004E482F">
            <w:pPr>
              <w:pStyle w:val="Body"/>
              <w:suppressAutoHyphens/>
              <w:rPr>
                <w:b/>
                <w:bCs/>
              </w:rPr>
            </w:pPr>
          </w:p>
        </w:tc>
      </w:tr>
    </w:tbl>
    <w:p w:rsidR="004E482F" w:rsidRPr="004E482F" w:rsidRDefault="004E482F">
      <w:pPr>
        <w:pStyle w:val="Body"/>
        <w:suppressAutoHyphens/>
      </w:pPr>
    </w:p>
    <w:p w:rsidR="00605CF4" w:rsidRDefault="004E482F">
      <w:pPr>
        <w:pStyle w:val="Body"/>
        <w:suppressAutoHyphens/>
      </w:pPr>
      <w:bookmarkStart w:id="1" w:name="_GoBack"/>
      <w:bookmarkEnd w:id="1"/>
      <w:r>
        <w:t xml:space="preserve">We would like to thank </w:t>
      </w:r>
      <w:r w:rsidR="00F00CA0">
        <w:t>Rachel White and Karen Wilkes for taking part in the election</w:t>
      </w:r>
      <w:r>
        <w:t>.</w:t>
      </w:r>
    </w:p>
    <w:p w:rsidR="00605CF4" w:rsidRDefault="00605CF4">
      <w:pPr>
        <w:pStyle w:val="Body"/>
        <w:suppressAutoHyphens/>
      </w:pPr>
    </w:p>
    <w:p w:rsidR="00605CF4" w:rsidRDefault="00F00CA0">
      <w:pPr>
        <w:pStyle w:val="Body"/>
        <w:suppressAutoHyphens/>
        <w:rPr>
          <w:b/>
          <w:bCs/>
        </w:rPr>
      </w:pPr>
      <w:r>
        <w:rPr>
          <w:b/>
          <w:bCs/>
        </w:rPr>
        <w:t>7.</w:t>
      </w:r>
      <w:r>
        <w:rPr>
          <w:rFonts w:ascii="Arial" w:hAnsi="Arial"/>
          <w:b/>
          <w:bCs/>
        </w:rPr>
        <w:t>Proposal: amendment to Rule 32</w:t>
      </w:r>
    </w:p>
    <w:p w:rsidR="00605CF4" w:rsidRPr="00175A10" w:rsidRDefault="00F00CA0">
      <w:pPr>
        <w:suppressAutoHyphens/>
        <w:rPr>
          <w:i/>
          <w:iCs/>
          <w:sz w:val="22"/>
          <w:szCs w:val="22"/>
        </w:rPr>
      </w:pPr>
      <w:r w:rsidRPr="00175A10">
        <w:rPr>
          <w:rFonts w:ascii="Arial" w:hAnsi="Arial"/>
          <w:i/>
          <w:iCs/>
          <w:sz w:val="22"/>
          <w:szCs w:val="22"/>
        </w:rPr>
        <w:t>In many organisations it is normal for board members to serve for several years before standing for re-election. Our rules state that the term of service is one year:</w:t>
      </w:r>
    </w:p>
    <w:p w:rsidR="00605CF4" w:rsidRPr="00175A10" w:rsidRDefault="00605CF4">
      <w:pPr>
        <w:suppressAutoHyphens/>
        <w:rPr>
          <w:rFonts w:ascii="Arial" w:hAnsi="Arial"/>
          <w:i/>
          <w:iCs/>
          <w:sz w:val="22"/>
          <w:szCs w:val="22"/>
        </w:rPr>
      </w:pPr>
    </w:p>
    <w:p w:rsidR="00605CF4" w:rsidRPr="00175A10" w:rsidRDefault="00F00CA0">
      <w:pPr>
        <w:suppressAutoHyphens/>
        <w:ind w:left="709"/>
        <w:rPr>
          <w:i/>
          <w:iCs/>
          <w:sz w:val="22"/>
          <w:szCs w:val="22"/>
        </w:rPr>
      </w:pPr>
      <w:r w:rsidRPr="00175A10">
        <w:rPr>
          <w:rFonts w:ascii="Arial" w:hAnsi="Arial"/>
          <w:i/>
          <w:iCs/>
          <w:sz w:val="22"/>
          <w:szCs w:val="22"/>
        </w:rPr>
        <w:t>Rule 32 - A Board member shall, subject to Rule 37 below, hold office until the end of the next Annual General Meeting following her/his election. Retiring members shall be eligible for re-election at the Annual General Meeting at which they retire.</w:t>
      </w:r>
    </w:p>
    <w:p w:rsidR="00605CF4" w:rsidRPr="00175A10" w:rsidRDefault="00605CF4">
      <w:pPr>
        <w:suppressAutoHyphens/>
        <w:ind w:left="709"/>
        <w:rPr>
          <w:i/>
          <w:iCs/>
          <w:sz w:val="22"/>
          <w:szCs w:val="22"/>
        </w:rPr>
      </w:pPr>
    </w:p>
    <w:p w:rsidR="00605CF4" w:rsidRPr="00175A10" w:rsidRDefault="00F00CA0">
      <w:pPr>
        <w:suppressAutoHyphens/>
        <w:ind w:left="709"/>
        <w:rPr>
          <w:i/>
          <w:iCs/>
          <w:sz w:val="22"/>
          <w:szCs w:val="22"/>
        </w:rPr>
      </w:pPr>
      <w:r w:rsidRPr="00175A10">
        <w:rPr>
          <w:rFonts w:ascii="Arial" w:hAnsi="Arial"/>
          <w:i/>
          <w:iCs/>
          <w:sz w:val="22"/>
          <w:szCs w:val="22"/>
        </w:rPr>
        <w:t>(Rule 37 concerns the ineligibility of a person to become or remain a board member if they resign, cease to be a member, are removed from office etc.)</w:t>
      </w:r>
    </w:p>
    <w:p w:rsidR="00605CF4" w:rsidRPr="00175A10" w:rsidRDefault="00605CF4">
      <w:pPr>
        <w:suppressAutoHyphens/>
        <w:rPr>
          <w:rFonts w:ascii="Arial" w:hAnsi="Arial"/>
          <w:i/>
          <w:iCs/>
          <w:sz w:val="22"/>
          <w:szCs w:val="22"/>
        </w:rPr>
      </w:pPr>
    </w:p>
    <w:p w:rsidR="00605CF4" w:rsidRPr="00175A10" w:rsidRDefault="00F00CA0">
      <w:pPr>
        <w:suppressAutoHyphens/>
        <w:rPr>
          <w:i/>
          <w:iCs/>
          <w:sz w:val="22"/>
          <w:szCs w:val="22"/>
        </w:rPr>
      </w:pPr>
      <w:r w:rsidRPr="00175A10">
        <w:rPr>
          <w:rFonts w:ascii="Arial" w:hAnsi="Arial"/>
          <w:i/>
          <w:iCs/>
          <w:sz w:val="22"/>
          <w:szCs w:val="22"/>
        </w:rPr>
        <w:t>Given that it takes at least a year to learn the ropes on a new board and given that the norm is for board members to serve for several years before standing for re-election, we propose to amend rule 32 so that board members serve for a minimum of two years rather than one. This would involve replacing the word ‘next’ with ‘second’ so that the Rule reads:</w:t>
      </w:r>
    </w:p>
    <w:p w:rsidR="00605CF4" w:rsidRPr="00175A10" w:rsidRDefault="00605CF4">
      <w:pPr>
        <w:suppressAutoHyphens/>
        <w:rPr>
          <w:rFonts w:ascii="Arial" w:hAnsi="Arial"/>
          <w:i/>
          <w:iCs/>
          <w:sz w:val="22"/>
          <w:szCs w:val="22"/>
        </w:rPr>
      </w:pPr>
    </w:p>
    <w:p w:rsidR="00605CF4" w:rsidRPr="00175A10" w:rsidRDefault="00F00CA0">
      <w:pPr>
        <w:suppressAutoHyphens/>
        <w:ind w:left="709"/>
        <w:rPr>
          <w:b/>
          <w:bCs/>
          <w:sz w:val="22"/>
          <w:szCs w:val="22"/>
        </w:rPr>
      </w:pPr>
      <w:r w:rsidRPr="00175A10">
        <w:rPr>
          <w:rFonts w:ascii="Arial" w:hAnsi="Arial"/>
          <w:i/>
          <w:iCs/>
          <w:sz w:val="22"/>
          <w:szCs w:val="22"/>
        </w:rPr>
        <w:t>Rule 32 - A Board member shall, subject to Rule 37 below, hold office until the end of the second Annual General Meeting following her/his election. Retiring members shall be eligible for re-election at the Annual General Meeting at which they retire.</w:t>
      </w:r>
    </w:p>
    <w:p w:rsidR="00605CF4" w:rsidRPr="00175A10" w:rsidRDefault="00605CF4">
      <w:pPr>
        <w:pStyle w:val="Body"/>
        <w:suppressAutoHyphens/>
      </w:pPr>
    </w:p>
    <w:p w:rsidR="00605CF4" w:rsidRDefault="00F00CA0">
      <w:pPr>
        <w:pStyle w:val="Body"/>
        <w:suppressAutoHyphens/>
      </w:pPr>
      <w:r>
        <w:t>A point for clarification – will take effect from next year as Dan and Fiona have just been elected for one year.</w:t>
      </w:r>
    </w:p>
    <w:p w:rsidR="00175A10" w:rsidRDefault="00175A10">
      <w:pPr>
        <w:pStyle w:val="Body"/>
        <w:suppressAutoHyphens/>
      </w:pPr>
    </w:p>
    <w:p w:rsidR="00605CF4" w:rsidRDefault="00F00CA0">
      <w:pPr>
        <w:pStyle w:val="Body"/>
        <w:suppressAutoHyphens/>
      </w:pPr>
      <w:r>
        <w:t>LS – why one year in the first place</w:t>
      </w:r>
      <w:r w:rsidR="00175A10">
        <w:t>?</w:t>
      </w:r>
    </w:p>
    <w:p w:rsidR="00605CF4" w:rsidRDefault="00F00CA0">
      <w:pPr>
        <w:pStyle w:val="Body"/>
        <w:suppressAutoHyphens/>
      </w:pPr>
      <w:r>
        <w:t xml:space="preserve">RH </w:t>
      </w:r>
      <w:r w:rsidR="00175A10">
        <w:t>–</w:t>
      </w:r>
      <w:r>
        <w:t xml:space="preserve"> using</w:t>
      </w:r>
      <w:r w:rsidR="00175A10">
        <w:t xml:space="preserve"> </w:t>
      </w:r>
      <w:r>
        <w:t>model rules and hadn’t thought about this</w:t>
      </w:r>
    </w:p>
    <w:p w:rsidR="00605CF4" w:rsidRDefault="00F00CA0">
      <w:pPr>
        <w:pStyle w:val="Body"/>
        <w:suppressAutoHyphens/>
      </w:pPr>
      <w:r>
        <w:t xml:space="preserve">FN – </w:t>
      </w:r>
      <w:r w:rsidR="00175A10">
        <w:t xml:space="preserve">does </w:t>
      </w:r>
      <w:r>
        <w:t>the 2 years rule apply to non-executive directors? If so, how will they be elected</w:t>
      </w:r>
      <w:r w:rsidR="00175A10">
        <w:t>?</w:t>
      </w:r>
      <w:r>
        <w:t xml:space="preserve"> </w:t>
      </w:r>
    </w:p>
    <w:p w:rsidR="00605CF4" w:rsidRDefault="00F00CA0">
      <w:pPr>
        <w:pStyle w:val="Body"/>
        <w:suppressAutoHyphens/>
      </w:pPr>
      <w:r>
        <w:lastRenderedPageBreak/>
        <w:t xml:space="preserve">RH </w:t>
      </w:r>
      <w:r w:rsidR="00175A10">
        <w:t xml:space="preserve">– </w:t>
      </w:r>
      <w:r>
        <w:t>Non-executive directors are elected by the Board, Board can make more or less non-executive directors.</w:t>
      </w:r>
      <w:r w:rsidR="00175A10">
        <w:t xml:space="preserve"> </w:t>
      </w:r>
      <w:r>
        <w:t>We need to formalise the process.</w:t>
      </w:r>
    </w:p>
    <w:p w:rsidR="00605CF4" w:rsidRDefault="00F00CA0">
      <w:pPr>
        <w:pStyle w:val="Body"/>
        <w:suppressAutoHyphens/>
      </w:pPr>
      <w:r>
        <w:t>JG – non-executive directors are there to make sure company is run properly – financially, ethically and legally. Should be a formal procedures</w:t>
      </w:r>
      <w:r w:rsidR="00175A10">
        <w:t>.</w:t>
      </w:r>
    </w:p>
    <w:p w:rsidR="00605CF4" w:rsidRDefault="00605CF4">
      <w:pPr>
        <w:pStyle w:val="Body"/>
        <w:suppressAutoHyphens/>
      </w:pPr>
    </w:p>
    <w:p w:rsidR="00605CF4" w:rsidRDefault="00F00CA0">
      <w:pPr>
        <w:pStyle w:val="Body"/>
        <w:suppressAutoHyphens/>
      </w:pPr>
      <w:r>
        <w:rPr>
          <w:b/>
          <w:bCs/>
        </w:rPr>
        <w:t>Action</w:t>
      </w:r>
      <w:r>
        <w:t xml:space="preserve"> – Board to consider a process for electing non-executive Directors</w:t>
      </w:r>
    </w:p>
    <w:p w:rsidR="00605CF4" w:rsidRDefault="00F00CA0">
      <w:pPr>
        <w:pStyle w:val="Body"/>
        <w:suppressAutoHyphens/>
      </w:pPr>
      <w:r>
        <w:rPr>
          <w:b/>
          <w:bCs/>
        </w:rPr>
        <w:t xml:space="preserve">Agreed – </w:t>
      </w:r>
      <w:r>
        <w:t>rule change applies to all Directors</w:t>
      </w:r>
    </w:p>
    <w:p w:rsidR="00605CF4" w:rsidRDefault="00605CF4">
      <w:pPr>
        <w:pStyle w:val="Body"/>
        <w:suppressAutoHyphens/>
        <w:rPr>
          <w:b/>
          <w:bCs/>
        </w:rPr>
      </w:pPr>
    </w:p>
    <w:p w:rsidR="00605CF4" w:rsidRDefault="00F00CA0">
      <w:pPr>
        <w:pStyle w:val="Body"/>
        <w:suppressAutoHyphens/>
      </w:pPr>
      <w:r>
        <w:t>18 in favour of the rule range</w:t>
      </w:r>
    </w:p>
    <w:p w:rsidR="00605CF4" w:rsidRDefault="00F00CA0">
      <w:pPr>
        <w:pStyle w:val="Body"/>
        <w:suppressAutoHyphens/>
      </w:pPr>
      <w:r>
        <w:t>1 abstention</w:t>
      </w:r>
    </w:p>
    <w:p w:rsidR="00605CF4" w:rsidRDefault="00605CF4">
      <w:pPr>
        <w:pStyle w:val="Body"/>
        <w:suppressAutoHyphens/>
        <w:rPr>
          <w:b/>
          <w:bCs/>
        </w:rPr>
      </w:pPr>
    </w:p>
    <w:p w:rsidR="00605CF4" w:rsidRDefault="00F00CA0">
      <w:pPr>
        <w:pStyle w:val="Body"/>
        <w:suppressAutoHyphens/>
      </w:pPr>
      <w:r>
        <w:rPr>
          <w:b/>
          <w:bCs/>
        </w:rPr>
        <w:t>Action:</w:t>
      </w:r>
      <w:r>
        <w:t xml:space="preserve"> Finance Team to register rule change with the Financial Conduct Authority (FCA)</w:t>
      </w:r>
    </w:p>
    <w:p w:rsidR="00605CF4" w:rsidRDefault="00605CF4">
      <w:pPr>
        <w:pStyle w:val="Body"/>
        <w:suppressAutoHyphens/>
        <w:rPr>
          <w:b/>
          <w:bCs/>
        </w:rPr>
      </w:pPr>
    </w:p>
    <w:p w:rsidR="00605CF4" w:rsidRDefault="00F00CA0">
      <w:pPr>
        <w:pStyle w:val="Body"/>
        <w:suppressAutoHyphens/>
      </w:pPr>
      <w:r>
        <w:rPr>
          <w:b/>
          <w:bCs/>
        </w:rPr>
        <w:t>8. AOBs</w:t>
      </w:r>
    </w:p>
    <w:p w:rsidR="00605CF4" w:rsidRDefault="00605CF4">
      <w:pPr>
        <w:pStyle w:val="Body"/>
        <w:suppressAutoHyphens/>
        <w:rPr>
          <w:b/>
          <w:bCs/>
        </w:rPr>
      </w:pPr>
    </w:p>
    <w:p w:rsidR="00605CF4" w:rsidRDefault="00F00CA0">
      <w:pPr>
        <w:pStyle w:val="Body"/>
        <w:suppressAutoHyphens/>
      </w:pPr>
      <w:r>
        <w:t>JG – green new deal – be aware that’s it not ‘smoke and mirrors’</w:t>
      </w:r>
      <w:r w:rsidR="00175A10">
        <w:t xml:space="preserve">, </w:t>
      </w:r>
      <w:r>
        <w:t>remember this when at our Conference</w:t>
      </w:r>
    </w:p>
    <w:p w:rsidR="00605CF4" w:rsidRDefault="00605CF4">
      <w:pPr>
        <w:pStyle w:val="Body"/>
        <w:suppressAutoHyphens/>
      </w:pPr>
    </w:p>
    <w:p w:rsidR="00605CF4" w:rsidRDefault="00F00CA0">
      <w:pPr>
        <w:pStyle w:val="Body"/>
        <w:suppressAutoHyphens/>
      </w:pPr>
      <w:r>
        <w:t>RH – post balance sheet event</w:t>
      </w:r>
      <w:r w:rsidR="00175A10">
        <w:t xml:space="preserve">: </w:t>
      </w:r>
      <w:r>
        <w:t>approached by solicitors accusing of us of libel from a Spanish firm.  We’ve been told by our solicitors that they do not have a case but they may wish to pursue with their claim.</w:t>
      </w:r>
      <w:r w:rsidR="00175A10">
        <w:t xml:space="preserve"> </w:t>
      </w:r>
      <w:r>
        <w:t>It’s to do with workers rights in veg/fruit production in Spain and supply chains with supermarkets.</w:t>
      </w:r>
    </w:p>
    <w:p w:rsidR="00605CF4" w:rsidRDefault="00605CF4">
      <w:pPr>
        <w:pStyle w:val="Body"/>
        <w:suppressAutoHyphens/>
      </w:pPr>
    </w:p>
    <w:p w:rsidR="00605CF4" w:rsidRDefault="00F00CA0">
      <w:pPr>
        <w:pStyle w:val="Body"/>
        <w:suppressAutoHyphens/>
      </w:pPr>
      <w:r>
        <w:t>RW – Have we considered to move the conference out of London?</w:t>
      </w:r>
    </w:p>
    <w:p w:rsidR="00605CF4" w:rsidRDefault="00F00CA0">
      <w:pPr>
        <w:pStyle w:val="Body"/>
        <w:suppressAutoHyphens/>
      </w:pPr>
      <w:r>
        <w:t>JG – also would like to see it in Manchester</w:t>
      </w:r>
    </w:p>
    <w:p w:rsidR="00605CF4" w:rsidRDefault="00F00CA0">
      <w:pPr>
        <w:pStyle w:val="Body"/>
        <w:suppressAutoHyphens/>
      </w:pPr>
      <w:r>
        <w:t>TH – had first our first two conferences in Manchester – only got 50 attendees between them.  Get 250 in London.</w:t>
      </w:r>
    </w:p>
    <w:p w:rsidR="00605CF4" w:rsidRDefault="00F00CA0">
      <w:pPr>
        <w:pStyle w:val="Body"/>
        <w:suppressAutoHyphens/>
      </w:pPr>
      <w:r>
        <w:t>RH – could do an additional one in Manchester or somewhere else– if we could find a sponsor</w:t>
      </w:r>
    </w:p>
    <w:p w:rsidR="00605CF4" w:rsidRDefault="00F00CA0">
      <w:pPr>
        <w:pStyle w:val="Body"/>
        <w:suppressAutoHyphens/>
      </w:pPr>
      <w:r>
        <w:t>LS – I imagine attendees are not so much subscribers but working for environmental organizations etc. which are based in London.</w:t>
      </w:r>
    </w:p>
    <w:p w:rsidR="00605CF4" w:rsidRDefault="00605CF4">
      <w:pPr>
        <w:pStyle w:val="Body"/>
        <w:suppressAutoHyphens/>
      </w:pPr>
    </w:p>
    <w:p w:rsidR="00605CF4" w:rsidRDefault="00F00CA0">
      <w:pPr>
        <w:pStyle w:val="Body"/>
        <w:suppressAutoHyphens/>
      </w:pPr>
      <w:r>
        <w:t>Meeting closed at 14:00</w:t>
      </w:r>
    </w:p>
    <w:p w:rsidR="00605CF4" w:rsidRDefault="00605CF4">
      <w:pPr>
        <w:pStyle w:val="Body"/>
        <w:suppressAutoHyphens/>
      </w:pPr>
    </w:p>
    <w:sectPr w:rsidR="00605CF4">
      <w:headerReference w:type="default" r:id="rId7"/>
      <w:footerReference w:type="default" r:id="rId8"/>
      <w:pgSz w:w="11906" w:h="16838"/>
      <w:pgMar w:top="1134" w:right="1134" w:bottom="1134" w:left="1134" w:header="709" w:footer="850" w:gutter="0"/>
      <w:cols w:space="720"/>
      <w:formProt w:val="0"/>
      <w:bidi/>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6FB" w:rsidRDefault="00F00CA0">
      <w:r>
        <w:separator/>
      </w:r>
    </w:p>
  </w:endnote>
  <w:endnote w:type="continuationSeparator" w:id="0">
    <w:p w:rsidR="00D676FB" w:rsidRDefault="00F0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F4" w:rsidRDefault="00605C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6FB" w:rsidRDefault="00F00CA0">
      <w:r>
        <w:separator/>
      </w:r>
    </w:p>
  </w:footnote>
  <w:footnote w:type="continuationSeparator" w:id="0">
    <w:p w:rsidR="00D676FB" w:rsidRDefault="00F00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F4" w:rsidRDefault="00605C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C56"/>
    <w:multiLevelType w:val="multilevel"/>
    <w:tmpl w:val="87CC3FFE"/>
    <w:lvl w:ilvl="0">
      <w:start w:val="1"/>
      <w:numFmt w:val="decimal"/>
      <w:lvlText w:val="%1."/>
      <w:lvlJc w:val="left"/>
      <w:pPr>
        <w:ind w:left="360" w:hanging="360"/>
      </w:pPr>
      <w:rPr>
        <w:b/>
        <w:bCs/>
        <w:caps w:val="0"/>
        <w:smallCaps w:val="0"/>
        <w:strike w:val="0"/>
        <w:dstrike w:val="0"/>
        <w:outline w:val="0"/>
        <w:emboss w:val="0"/>
        <w:imprint w:val="0"/>
        <w:spacing w:val="0"/>
        <w:w w:val="100"/>
        <w:kern w:val="0"/>
        <w:position w:val="0"/>
        <w:sz w:val="24"/>
        <w:vertAlign w:val="baseline"/>
      </w:rPr>
    </w:lvl>
    <w:lvl w:ilvl="1">
      <w:start w:val="1"/>
      <w:numFmt w:val="decimal"/>
      <w:lvlText w:val="%2."/>
      <w:lvlJc w:val="left"/>
      <w:pPr>
        <w:ind w:left="720" w:hanging="360"/>
      </w:pPr>
      <w:rPr>
        <w:b/>
        <w:bCs/>
        <w:caps w:val="0"/>
        <w:smallCaps w:val="0"/>
        <w:strike w:val="0"/>
        <w:dstrike w:val="0"/>
        <w:outline w:val="0"/>
        <w:emboss w:val="0"/>
        <w:imprint w:val="0"/>
        <w:spacing w:val="0"/>
        <w:w w:val="100"/>
        <w:kern w:val="0"/>
        <w:position w:val="0"/>
        <w:sz w:val="24"/>
        <w:vertAlign w:val="baseline"/>
      </w:rPr>
    </w:lvl>
    <w:lvl w:ilvl="2">
      <w:start w:val="1"/>
      <w:numFmt w:val="decimal"/>
      <w:lvlText w:val="%3."/>
      <w:lvlJc w:val="left"/>
      <w:pPr>
        <w:ind w:left="1080" w:hanging="360"/>
      </w:pPr>
      <w:rPr>
        <w:b/>
        <w:bCs/>
        <w:caps w:val="0"/>
        <w:smallCaps w:val="0"/>
        <w:strike w:val="0"/>
        <w:dstrike w:val="0"/>
        <w:outline w:val="0"/>
        <w:emboss w:val="0"/>
        <w:imprint w:val="0"/>
        <w:spacing w:val="0"/>
        <w:w w:val="100"/>
        <w:kern w:val="0"/>
        <w:position w:val="0"/>
        <w:sz w:val="24"/>
        <w:vertAlign w:val="baseline"/>
      </w:rPr>
    </w:lvl>
    <w:lvl w:ilvl="3">
      <w:start w:val="1"/>
      <w:numFmt w:val="decimal"/>
      <w:lvlText w:val="%4."/>
      <w:lvlJc w:val="left"/>
      <w:pPr>
        <w:ind w:left="1440" w:hanging="360"/>
      </w:pPr>
      <w:rPr>
        <w:b/>
        <w:bCs/>
        <w:caps w:val="0"/>
        <w:smallCaps w:val="0"/>
        <w:strike w:val="0"/>
        <w:dstrike w:val="0"/>
        <w:outline w:val="0"/>
        <w:emboss w:val="0"/>
        <w:imprint w:val="0"/>
        <w:spacing w:val="0"/>
        <w:w w:val="100"/>
        <w:kern w:val="0"/>
        <w:position w:val="0"/>
        <w:sz w:val="24"/>
        <w:vertAlign w:val="baseline"/>
      </w:rPr>
    </w:lvl>
    <w:lvl w:ilvl="4">
      <w:start w:val="1"/>
      <w:numFmt w:val="decimal"/>
      <w:lvlText w:val="%5."/>
      <w:lvlJc w:val="left"/>
      <w:pPr>
        <w:ind w:left="1800" w:hanging="360"/>
      </w:pPr>
      <w:rPr>
        <w:b/>
        <w:bCs/>
        <w:caps w:val="0"/>
        <w:smallCaps w:val="0"/>
        <w:strike w:val="0"/>
        <w:dstrike w:val="0"/>
        <w:outline w:val="0"/>
        <w:emboss w:val="0"/>
        <w:imprint w:val="0"/>
        <w:spacing w:val="0"/>
        <w:w w:val="100"/>
        <w:kern w:val="0"/>
        <w:position w:val="0"/>
        <w:sz w:val="24"/>
        <w:vertAlign w:val="baseline"/>
      </w:rPr>
    </w:lvl>
    <w:lvl w:ilvl="5">
      <w:start w:val="1"/>
      <w:numFmt w:val="decimal"/>
      <w:lvlText w:val="%6."/>
      <w:lvlJc w:val="left"/>
      <w:pPr>
        <w:ind w:left="2160" w:hanging="360"/>
      </w:pPr>
      <w:rPr>
        <w:b/>
        <w:bCs/>
        <w:caps w:val="0"/>
        <w:smallCaps w:val="0"/>
        <w:strike w:val="0"/>
        <w:dstrike w:val="0"/>
        <w:outline w:val="0"/>
        <w:emboss w:val="0"/>
        <w:imprint w:val="0"/>
        <w:spacing w:val="0"/>
        <w:w w:val="100"/>
        <w:kern w:val="0"/>
        <w:position w:val="0"/>
        <w:sz w:val="24"/>
        <w:vertAlign w:val="baseline"/>
      </w:rPr>
    </w:lvl>
    <w:lvl w:ilvl="6">
      <w:start w:val="1"/>
      <w:numFmt w:val="decimal"/>
      <w:lvlText w:val="%7."/>
      <w:lvlJc w:val="left"/>
      <w:pPr>
        <w:ind w:left="2520" w:hanging="360"/>
      </w:pPr>
      <w:rPr>
        <w:b/>
        <w:bCs/>
        <w:caps w:val="0"/>
        <w:smallCaps w:val="0"/>
        <w:strike w:val="0"/>
        <w:dstrike w:val="0"/>
        <w:outline w:val="0"/>
        <w:emboss w:val="0"/>
        <w:imprint w:val="0"/>
        <w:spacing w:val="0"/>
        <w:w w:val="100"/>
        <w:kern w:val="0"/>
        <w:position w:val="0"/>
        <w:sz w:val="24"/>
        <w:vertAlign w:val="baseline"/>
      </w:rPr>
    </w:lvl>
    <w:lvl w:ilvl="7">
      <w:start w:val="1"/>
      <w:numFmt w:val="decimal"/>
      <w:lvlText w:val="%8."/>
      <w:lvlJc w:val="left"/>
      <w:pPr>
        <w:ind w:left="2880" w:hanging="360"/>
      </w:pPr>
      <w:rPr>
        <w:b/>
        <w:bCs/>
        <w:caps w:val="0"/>
        <w:smallCaps w:val="0"/>
        <w:strike w:val="0"/>
        <w:dstrike w:val="0"/>
        <w:outline w:val="0"/>
        <w:emboss w:val="0"/>
        <w:imprint w:val="0"/>
        <w:spacing w:val="0"/>
        <w:w w:val="100"/>
        <w:kern w:val="0"/>
        <w:position w:val="0"/>
        <w:sz w:val="24"/>
        <w:vertAlign w:val="baseline"/>
      </w:rPr>
    </w:lvl>
    <w:lvl w:ilvl="8">
      <w:start w:val="1"/>
      <w:numFmt w:val="decimal"/>
      <w:lvlText w:val="%9."/>
      <w:lvlJc w:val="left"/>
      <w:pPr>
        <w:ind w:left="3240" w:hanging="360"/>
      </w:pPr>
      <w:rPr>
        <w:b/>
        <w:bCs/>
        <w:caps w:val="0"/>
        <w:smallCaps w:val="0"/>
        <w:strike w:val="0"/>
        <w:dstrike w:val="0"/>
        <w:outline w:val="0"/>
        <w:emboss w:val="0"/>
        <w:imprint w:val="0"/>
        <w:spacing w:val="0"/>
        <w:w w:val="100"/>
        <w:kern w:val="0"/>
        <w:position w:val="0"/>
        <w:sz w:val="24"/>
        <w:vertAlign w:val="baseline"/>
      </w:rPr>
    </w:lvl>
  </w:abstractNum>
  <w:abstractNum w:abstractNumId="1" w15:restartNumberingAfterBreak="0">
    <w:nsid w:val="4078788F"/>
    <w:multiLevelType w:val="multilevel"/>
    <w:tmpl w:val="C8BEB6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05CF4"/>
    <w:rsid w:val="00175A10"/>
    <w:rsid w:val="004E482F"/>
    <w:rsid w:val="00605CF4"/>
    <w:rsid w:val="00D676FB"/>
    <w:rsid w:val="00F00C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D44F"/>
  <w15:docId w15:val="{A93CB8D6-D306-45D1-89D6-1A041657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A"/>
        <w:lang w:val="en-GB"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u w:color="00000A"/>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
    <w:name w:val="ListLabel 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
    <w:name w:val="ListLabel 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
    <w:name w:val="ListLabel 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
    <w:name w:val="ListLabel 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
    <w:name w:val="ListLabel 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7">
    <w:name w:val="ListLabel 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8">
    <w:name w:val="ListLabel 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9">
    <w:name w:val="ListLabel 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0">
    <w:name w:val="ListLabel 1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1">
    <w:name w:val="ListLabel 1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2">
    <w:name w:val="ListLabel 1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3">
    <w:name w:val="ListLabel 1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4">
    <w:name w:val="ListLabel 1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5">
    <w:name w:val="ListLabel 1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6">
    <w:name w:val="ListLabel 1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7">
    <w:name w:val="ListLabel 1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8">
    <w:name w:val="ListLabel 1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19">
    <w:name w:val="ListLabel 1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0">
    <w:name w:val="ListLabel 2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1">
    <w:name w:val="ListLabel 2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2">
    <w:name w:val="ListLabel 2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3">
    <w:name w:val="ListLabel 2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4">
    <w:name w:val="ListLabel 2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5">
    <w:name w:val="ListLabel 2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6">
    <w:name w:val="ListLabel 2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7">
    <w:name w:val="ListLabel 2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8">
    <w:name w:val="ListLabel 2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29">
    <w:name w:val="ListLabel 2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0">
    <w:name w:val="ListLabel 3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1">
    <w:name w:val="ListLabel 3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2">
    <w:name w:val="ListLabel 3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3">
    <w:name w:val="ListLabel 3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4">
    <w:name w:val="ListLabel 3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5">
    <w:name w:val="ListLabel 3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6">
    <w:name w:val="ListLabel 3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7">
    <w:name w:val="ListLabel 3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8">
    <w:name w:val="ListLabel 3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39">
    <w:name w:val="ListLabel 3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0">
    <w:name w:val="ListLabel 4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1">
    <w:name w:val="ListLabel 4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2">
    <w:name w:val="ListLabel 4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3">
    <w:name w:val="ListLabel 4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4">
    <w:name w:val="ListLabel 4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5">
    <w:name w:val="ListLabel 4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6">
    <w:name w:val="ListLabel 4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7">
    <w:name w:val="ListLabel 4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8">
    <w:name w:val="ListLabel 4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49">
    <w:name w:val="ListLabel 4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0">
    <w:name w:val="ListLabel 5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1">
    <w:name w:val="ListLabel 5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2">
    <w:name w:val="ListLabel 5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3">
    <w:name w:val="ListLabel 5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4">
    <w:name w:val="ListLabel 5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5">
    <w:name w:val="ListLabel 5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6">
    <w:name w:val="ListLabel 5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7">
    <w:name w:val="ListLabel 5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8">
    <w:name w:val="ListLabel 5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59">
    <w:name w:val="ListLabel 5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0">
    <w:name w:val="ListLabel 6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1">
    <w:name w:val="ListLabel 6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2">
    <w:name w:val="ListLabel 62"/>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3">
    <w:name w:val="ListLabel 63"/>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4">
    <w:name w:val="ListLabel 64"/>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5">
    <w:name w:val="ListLabel 65"/>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6">
    <w:name w:val="ListLabel 66"/>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7">
    <w:name w:val="ListLabel 67"/>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8">
    <w:name w:val="ListLabel 68"/>
    <w:qFormat/>
    <w:rPr>
      <w:b/>
      <w:bCs/>
      <w:caps w:val="0"/>
      <w:smallCaps w:val="0"/>
      <w:strike w:val="0"/>
      <w:dstrike w:val="0"/>
      <w:outline w:val="0"/>
      <w:emboss w:val="0"/>
      <w:imprint w:val="0"/>
      <w:spacing w:val="0"/>
      <w:w w:val="100"/>
      <w:kern w:val="0"/>
      <w:position w:val="0"/>
      <w:sz w:val="24"/>
      <w:vertAlign w:val="baseline"/>
    </w:rPr>
  </w:style>
  <w:style w:type="character" w:customStyle="1" w:styleId="ListLabel69">
    <w:name w:val="ListLabel 69"/>
    <w:qFormat/>
    <w:rPr>
      <w:b/>
      <w:bCs/>
      <w:caps w:val="0"/>
      <w:smallCaps w:val="0"/>
      <w:strike w:val="0"/>
      <w:dstrike w:val="0"/>
      <w:outline w:val="0"/>
      <w:emboss w:val="0"/>
      <w:imprint w:val="0"/>
      <w:spacing w:val="0"/>
      <w:w w:val="100"/>
      <w:kern w:val="0"/>
      <w:position w:val="0"/>
      <w:sz w:val="24"/>
      <w:vertAlign w:val="baseline"/>
    </w:rPr>
  </w:style>
  <w:style w:type="character" w:customStyle="1" w:styleId="ListLabel70">
    <w:name w:val="ListLabel 70"/>
    <w:qFormat/>
    <w:rPr>
      <w:b/>
      <w:bCs/>
      <w:caps w:val="0"/>
      <w:smallCaps w:val="0"/>
      <w:strike w:val="0"/>
      <w:dstrike w:val="0"/>
      <w:outline w:val="0"/>
      <w:emboss w:val="0"/>
      <w:imprint w:val="0"/>
      <w:spacing w:val="0"/>
      <w:w w:val="100"/>
      <w:kern w:val="0"/>
      <w:position w:val="0"/>
      <w:sz w:val="24"/>
      <w:vertAlign w:val="baseline"/>
    </w:rPr>
  </w:style>
  <w:style w:type="character" w:customStyle="1" w:styleId="ListLabel71">
    <w:name w:val="ListLabel 71"/>
    <w:qFormat/>
    <w:rPr>
      <w:b/>
      <w:bCs/>
      <w:caps w:val="0"/>
      <w:smallCaps w:val="0"/>
      <w:strike w:val="0"/>
      <w:dstrike w:val="0"/>
      <w:outline w:val="0"/>
      <w:emboss w:val="0"/>
      <w:imprint w:val="0"/>
      <w:spacing w:val="0"/>
      <w:w w:val="100"/>
      <w:kern w:val="0"/>
      <w:position w:val="0"/>
      <w:sz w:val="24"/>
      <w:vertAlign w:val="baseline"/>
    </w:rPr>
  </w:style>
  <w:style w:type="character" w:customStyle="1" w:styleId="ListLabel72">
    <w:name w:val="ListLabel 72"/>
    <w:qFormat/>
    <w:rPr>
      <w:b/>
      <w:bCs/>
      <w:caps w:val="0"/>
      <w:smallCaps w:val="0"/>
      <w:strike w:val="0"/>
      <w:dstrike w:val="0"/>
      <w:outline w:val="0"/>
      <w:emboss w:val="0"/>
      <w:imprint w:val="0"/>
      <w:spacing w:val="0"/>
      <w:w w:val="100"/>
      <w:kern w:val="0"/>
      <w:position w:val="0"/>
      <w:sz w:val="24"/>
      <w:vertAlign w:val="baselin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w:hAnsi="Helvetica" w:cs="Arial Unicode MS"/>
      <w:color w:val="000000"/>
      <w:sz w:val="22"/>
      <w:szCs w:val="22"/>
      <w:u w:color="00000A"/>
    </w:rPr>
  </w:style>
  <w:style w:type="paragraph" w:styleId="Header">
    <w:name w:val="header"/>
    <w:basedOn w:val="Normal"/>
  </w:style>
  <w:style w:type="paragraph" w:styleId="Footer">
    <w:name w:val="footer"/>
    <w:basedOn w:val="Normal"/>
  </w:style>
  <w:style w:type="numbering" w:customStyle="1" w:styleId="Numbered">
    <w:name w:val="Numbered"/>
    <w:qFormat/>
  </w:style>
  <w:style w:type="table" w:styleId="TableGrid">
    <w:name w:val="Table Grid"/>
    <w:basedOn w:val="TableNormal"/>
    <w:uiPriority w:val="39"/>
    <w:rsid w:val="004E4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jo</cp:lastModifiedBy>
  <cp:revision>13</cp:revision>
  <dcterms:created xsi:type="dcterms:W3CDTF">2019-10-07T08:23:00Z</dcterms:created>
  <dcterms:modified xsi:type="dcterms:W3CDTF">2019-10-11T12:50:00Z</dcterms:modified>
  <dc:language>en-GB</dc:language>
</cp:coreProperties>
</file>